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cs="Times New Roman" w:eastAsia="Times New Roman" w:hAnsi="Times New Roman"/>
          <w:color w:val="19191a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color w:val="19191a"/>
          <w:sz w:val="40"/>
          <w:szCs w:val="40"/>
          <w:rtl w:val="0"/>
        </w:rPr>
        <w:t xml:space="preserve">LEGGE 53/90 e successive modificazioni ed aggiornamenti</w:t>
      </w:r>
    </w:p>
    <w:p w:rsidR="00000000" w:rsidDel="00000000" w:rsidP="00000000" w:rsidRDefault="00000000" w:rsidRPr="00000000" w14:paraId="00000002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cs="Times New Roman" w:eastAsia="Times New Roman" w:hAnsi="Times New Roman"/>
          <w:color w:val="19191a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color w:val="19191a"/>
          <w:sz w:val="40"/>
          <w:szCs w:val="40"/>
          <w:rtl w:val="0"/>
        </w:rPr>
        <w:t xml:space="preserve">CHI PUO’ AUTENTICARE</w:t>
      </w:r>
    </w:p>
    <w:p w:rsidR="00000000" w:rsidDel="00000000" w:rsidP="00000000" w:rsidRDefault="00000000" w:rsidRPr="00000000" w14:paraId="00000003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cs="Times New Roman" w:eastAsia="Times New Roman" w:hAnsi="Times New Roman"/>
          <w:color w:val="19191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testo in vigore dal: </w:t>
      </w:r>
      <w:r w:rsidDel="00000000" w:rsidR="00000000" w:rsidRPr="00000000">
        <w:rPr>
          <w:rFonts w:ascii="Times New Roman" w:cs="Times New Roman" w:eastAsia="Times New Roman" w:hAnsi="Times New Roman"/>
          <w:color w:val="990000"/>
          <w:sz w:val="24"/>
          <w:szCs w:val="24"/>
          <w:rtl w:val="0"/>
        </w:rPr>
        <w:t xml:space="preserve">31-7-2021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0066cc"/>
            <w:sz w:val="24"/>
            <w:szCs w:val="24"/>
            <w:highlight w:val="white"/>
            <w:u w:val="single"/>
            <w:rtl w:val="0"/>
          </w:rPr>
          <w:t xml:space="preserve">aggiornamenti all'articolo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color w:val="19191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                              Art. 14. </w:t>
      </w:r>
    </w:p>
    <w:p w:rsidR="00000000" w:rsidDel="00000000" w:rsidP="00000000" w:rsidRDefault="00000000" w:rsidRPr="00000000" w14:paraId="00000006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color w:val="19191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  1. Sono competenti ad eseguire le autenticazioni  che  non  siano attribuite esclusivamente ai notai e che siano previste dalla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66cc"/>
            <w:sz w:val="24"/>
            <w:szCs w:val="24"/>
            <w:u w:val="single"/>
            <w:rtl w:val="0"/>
          </w:rPr>
          <w:t xml:space="preserve">legge 6febbraio 1948, n. 29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, dalla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66cc"/>
            <w:sz w:val="24"/>
            <w:szCs w:val="24"/>
            <w:u w:val="single"/>
            <w:rtl w:val="0"/>
          </w:rPr>
          <w:t xml:space="preserve">legge 8 marzo 1951,  n.  122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,  dal  testo unico delle leggi recanti norme per  la  elezione  della  Camera  dei deputati, di cui al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66cc"/>
            <w:sz w:val="24"/>
            <w:szCs w:val="24"/>
            <w:u w:val="single"/>
            <w:rtl w:val="0"/>
          </w:rPr>
          <w:t xml:space="preserve">decreto del Presidente della Repubblica 30  marzo1957, n. 361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, dal testo unico delle leggi per la  composizione  e  la elezione degli organi  delle  Amministrazioni  comunali,  di  cui  al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66cc"/>
            <w:sz w:val="24"/>
            <w:szCs w:val="24"/>
            <w:u w:val="single"/>
            <w:rtl w:val="0"/>
          </w:rPr>
          <w:t xml:space="preserve">decreto del Presidente della Repubblica 16 maggio 1960, n. 570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, dalla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0066cc"/>
            <w:sz w:val="24"/>
            <w:szCs w:val="24"/>
            <w:u w:val="single"/>
            <w:rtl w:val="0"/>
          </w:rPr>
          <w:t xml:space="preserve">legge 17 febbraio 1968, n. 108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, dal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0066cc"/>
            <w:sz w:val="24"/>
            <w:szCs w:val="24"/>
            <w:u w:val="single"/>
            <w:rtl w:val="0"/>
          </w:rPr>
          <w:t xml:space="preserve">decreto-legge 3 maggio  1976,  n.161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, convertito, con modificazioni, dalla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0066cc"/>
            <w:sz w:val="24"/>
            <w:szCs w:val="24"/>
            <w:u w:val="single"/>
            <w:rtl w:val="0"/>
          </w:rPr>
          <w:t xml:space="preserve">legge 14  maggio  1976,  n.</w:t>
        </w:r>
      </w:hyperlink>
      <w:r w:rsidDel="00000000" w:rsidR="00000000" w:rsidRPr="00000000">
        <w:fldChar w:fldCharType="begin"/>
        <w:instrText xml:space="preserve"> HYPERLINK "https://www.normattiva.it/uri-res/N2Ls?urn:nir:stato:legge:1976-05-14;240"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color w:val="0066cc"/>
          <w:sz w:val="24"/>
          <w:szCs w:val="24"/>
          <w:u w:val="single"/>
        </w:rPr>
      </w:pPr>
      <w:bookmarkStart w:colFirst="0" w:colLast="0" w:name="_heading=h.gjdgxs" w:id="0"/>
      <w:bookmarkEnd w:id="0"/>
      <w:r w:rsidDel="00000000" w:rsidR="00000000" w:rsidRPr="00000000">
        <w:fldChar w:fldCharType="end"/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color w:val="0066cc"/>
            <w:sz w:val="24"/>
            <w:szCs w:val="24"/>
            <w:u w:val="single"/>
            <w:rtl w:val="0"/>
          </w:rPr>
          <w:t xml:space="preserve">240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, dalla </w:t>
      </w:r>
      <w:hyperlink r:id="rId16">
        <w:r w:rsidDel="00000000" w:rsidR="00000000" w:rsidRPr="00000000">
          <w:rPr>
            <w:rFonts w:ascii="Times New Roman" w:cs="Times New Roman" w:eastAsia="Times New Roman" w:hAnsi="Times New Roman"/>
            <w:color w:val="0066cc"/>
            <w:sz w:val="24"/>
            <w:szCs w:val="24"/>
            <w:u w:val="single"/>
            <w:rtl w:val="0"/>
          </w:rPr>
          <w:t xml:space="preserve">legge 24 gennaio 1979, n. 18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,  e  dalla  </w:t>
      </w:r>
      <w:hyperlink r:id="rId17">
        <w:r w:rsidDel="00000000" w:rsidR="00000000" w:rsidRPr="00000000">
          <w:rPr>
            <w:rFonts w:ascii="Times New Roman" w:cs="Times New Roman" w:eastAsia="Times New Roman" w:hAnsi="Times New Roman"/>
            <w:color w:val="0066cc"/>
            <w:sz w:val="24"/>
            <w:szCs w:val="24"/>
            <w:u w:val="single"/>
            <w:rtl w:val="0"/>
          </w:rPr>
          <w:t xml:space="preserve">legge  25  maggio 1970, n. 352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, nonche' per le elezioni previste dalla </w:t>
      </w:r>
      <w:hyperlink r:id="rId18">
        <w:r w:rsidDel="00000000" w:rsidR="00000000" w:rsidRPr="00000000">
          <w:rPr>
            <w:rFonts w:ascii="Times New Roman" w:cs="Times New Roman" w:eastAsia="Times New Roman" w:hAnsi="Times New Roman"/>
            <w:color w:val="0066cc"/>
            <w:sz w:val="24"/>
            <w:szCs w:val="24"/>
            <w:u w:val="single"/>
            <w:rtl w:val="0"/>
          </w:rPr>
          <w:t xml:space="preserve">legge  7  aprile 2014, n.  56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, i  notai,  i  giudici  di  pace,  i  cancellieri  e  i</w:t>
      </w:r>
      <w:r w:rsidDel="00000000" w:rsidR="00000000" w:rsidRPr="00000000">
        <w:rPr>
          <w:rFonts w:ascii="Times New Roman" w:cs="Times New Roman" w:eastAsia="Times New Roman" w:hAnsi="Times New Roman"/>
          <w:color w:val="0066cc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collaboratori  delle  cancellerie  delle  corti   d'appello   e   dei</w:t>
      </w:r>
      <w:r w:rsidDel="00000000" w:rsidR="00000000" w:rsidRPr="00000000">
        <w:rPr>
          <w:rFonts w:ascii="Times New Roman" w:cs="Times New Roman" w:eastAsia="Times New Roman" w:hAnsi="Times New Roman"/>
          <w:color w:val="0066cc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tribunali, i segretari delle procure della Repubblica, i  membri  del</w:t>
      </w:r>
      <w:r w:rsidDel="00000000" w:rsidR="00000000" w:rsidRPr="00000000">
        <w:rPr>
          <w:rFonts w:ascii="Times New Roman" w:cs="Times New Roman" w:eastAsia="Times New Roman" w:hAnsi="Times New Roman"/>
          <w:color w:val="0066cc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Parlamento, i consiglieri regionali, i presidenti delle  province, i</w:t>
      </w:r>
      <w:r w:rsidDel="00000000" w:rsidR="00000000" w:rsidRPr="00000000">
        <w:rPr>
          <w:rFonts w:ascii="Times New Roman" w:cs="Times New Roman" w:eastAsia="Times New Roman" w:hAnsi="Times New Roman"/>
          <w:color w:val="0066cc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sindaci  metropolitani,  i  sindaci,   gli   assessori   comunali e</w:t>
      </w:r>
      <w:r w:rsidDel="00000000" w:rsidR="00000000" w:rsidRPr="00000000">
        <w:rPr>
          <w:rFonts w:ascii="Times New Roman" w:cs="Times New Roman" w:eastAsia="Times New Roman" w:hAnsi="Times New Roman"/>
          <w:color w:val="0066cc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provinciali,  i  componenti   della   conferenza   metropolitana,   i</w:t>
      </w:r>
      <w:r w:rsidDel="00000000" w:rsidR="00000000" w:rsidRPr="00000000">
        <w:rPr>
          <w:rFonts w:ascii="Times New Roman" w:cs="Times New Roman" w:eastAsia="Times New Roman" w:hAnsi="Times New Roman"/>
          <w:color w:val="0066cc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presidenti dei consigli comunali e provinciali, i presidenti e i vice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color w:val="19191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presidenti dei consigli circoscrizionali, i consiglieri  provinciali, i consiglieri metropolitani e i  consiglieri  comunali,  i  segretari comunali e provinciali e i funzionari incaricati dal  sindaco  e  dal presidente della provincia.</w:t>
      </w:r>
    </w:p>
    <w:p w:rsidR="00000000" w:rsidDel="00000000" w:rsidP="00000000" w:rsidRDefault="00000000" w:rsidRPr="00000000" w14:paraId="00000009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color w:val="19191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 Sono altresi' competenti ad eseguire le autenticazioni  di  cui  al  presente  comma  gli  avvocati  iscritti all'albo che hanno comunicato la propria disponibilita' all'ordine di appartenenza, i cui nominativi sono  tempestivamente  pubblicati  nel</w:t>
      </w:r>
    </w:p>
    <w:p w:rsidR="00000000" w:rsidDel="00000000" w:rsidP="00000000" w:rsidRDefault="00000000" w:rsidRPr="00000000" w14:paraId="0000000A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color w:val="19191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sito internet istituzionale dell'ordine. </w:t>
      </w:r>
    </w:p>
    <w:p w:rsidR="00000000" w:rsidDel="00000000" w:rsidP="00000000" w:rsidRDefault="00000000" w:rsidRPr="00000000" w14:paraId="0000000B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color w:val="19191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  2. L'autenticazione deve essere compiuta con le modalita'  di  cui all'</w:t>
      </w:r>
      <w:hyperlink r:id="rId19">
        <w:r w:rsidDel="00000000" w:rsidR="00000000" w:rsidRPr="00000000">
          <w:rPr>
            <w:rFonts w:ascii="Times New Roman" w:cs="Times New Roman" w:eastAsia="Times New Roman" w:hAnsi="Times New Roman"/>
            <w:color w:val="0066cc"/>
            <w:sz w:val="24"/>
            <w:szCs w:val="24"/>
            <w:u w:val="single"/>
            <w:rtl w:val="0"/>
          </w:rPr>
          <w:t xml:space="preserve">articolo  21,  comma  2,  del  testo  unico  delle   disposizioni</w:t>
        </w:r>
      </w:hyperlink>
      <w:hyperlink r:id="rId20">
        <w:r w:rsidDel="00000000" w:rsidR="00000000" w:rsidRPr="00000000">
          <w:rPr>
            <w:rFonts w:ascii="Times New Roman" w:cs="Times New Roman" w:eastAsia="Times New Roman" w:hAnsi="Times New Roman"/>
            <w:color w:val="19191a"/>
            <w:sz w:val="24"/>
            <w:szCs w:val="24"/>
            <w:rtl w:val="0"/>
          </w:rPr>
          <w:t xml:space="preserve"> </w:t>
        </w:r>
      </w:hyperlink>
      <w:hyperlink r:id="rId21">
        <w:r w:rsidDel="00000000" w:rsidR="00000000" w:rsidRPr="00000000">
          <w:rPr>
            <w:rFonts w:ascii="Times New Roman" w:cs="Times New Roman" w:eastAsia="Times New Roman" w:hAnsi="Times New Roman"/>
            <w:color w:val="0066cc"/>
            <w:sz w:val="24"/>
            <w:szCs w:val="24"/>
            <w:u w:val="single"/>
            <w:rtl w:val="0"/>
          </w:rPr>
          <w:t xml:space="preserve">legislative   e   regolamentari   in   materia   di    documentazione</w:t>
        </w:r>
      </w:hyperlink>
      <w:hyperlink r:id="rId22">
        <w:r w:rsidDel="00000000" w:rsidR="00000000" w:rsidRPr="00000000">
          <w:rPr>
            <w:rFonts w:ascii="Times New Roman" w:cs="Times New Roman" w:eastAsia="Times New Roman" w:hAnsi="Times New Roman"/>
            <w:color w:val="19191a"/>
            <w:sz w:val="24"/>
            <w:szCs w:val="24"/>
            <w:rtl w:val="0"/>
          </w:rPr>
          <w:t xml:space="preserve"> </w:t>
        </w:r>
      </w:hyperlink>
      <w:hyperlink r:id="rId23">
        <w:r w:rsidDel="00000000" w:rsidR="00000000" w:rsidRPr="00000000">
          <w:rPr>
            <w:rFonts w:ascii="Times New Roman" w:cs="Times New Roman" w:eastAsia="Times New Roman" w:hAnsi="Times New Roman"/>
            <w:color w:val="0066cc"/>
            <w:sz w:val="24"/>
            <w:szCs w:val="24"/>
            <w:u w:val="single"/>
            <w:rtl w:val="0"/>
          </w:rPr>
          <w:t xml:space="preserve">amministrativa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, di cui al </w:t>
      </w:r>
      <w:hyperlink r:id="rId24">
        <w:r w:rsidDel="00000000" w:rsidR="00000000" w:rsidRPr="00000000">
          <w:rPr>
            <w:rFonts w:ascii="Times New Roman" w:cs="Times New Roman" w:eastAsia="Times New Roman" w:hAnsi="Times New Roman"/>
            <w:color w:val="0066cc"/>
            <w:sz w:val="24"/>
            <w:szCs w:val="24"/>
            <w:u w:val="single"/>
            <w:rtl w:val="0"/>
          </w:rPr>
          <w:t xml:space="preserve">decreto del Presidente della Repubblica  28</w:t>
        </w:r>
      </w:hyperlink>
      <w:hyperlink r:id="rId25">
        <w:r w:rsidDel="00000000" w:rsidR="00000000" w:rsidRPr="00000000">
          <w:rPr>
            <w:rFonts w:ascii="Times New Roman" w:cs="Times New Roman" w:eastAsia="Times New Roman" w:hAnsi="Times New Roman"/>
            <w:color w:val="19191a"/>
            <w:sz w:val="24"/>
            <w:szCs w:val="24"/>
            <w:rtl w:val="0"/>
          </w:rPr>
          <w:t xml:space="preserve"> </w:t>
        </w:r>
      </w:hyperlink>
      <w:hyperlink r:id="rId26">
        <w:r w:rsidDel="00000000" w:rsidR="00000000" w:rsidRPr="00000000">
          <w:rPr>
            <w:rFonts w:ascii="Times New Roman" w:cs="Times New Roman" w:eastAsia="Times New Roman" w:hAnsi="Times New Roman"/>
            <w:color w:val="0066cc"/>
            <w:sz w:val="24"/>
            <w:szCs w:val="24"/>
            <w:u w:val="single"/>
            <w:rtl w:val="0"/>
          </w:rPr>
          <w:t xml:space="preserve">dicembre 2000, n. 445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9191a"/>
          <w:sz w:val="24"/>
          <w:szCs w:val="24"/>
          <w:rtl w:val="0"/>
        </w:rPr>
        <w:t xml:space="preserve">). </w:t>
      </w:r>
    </w:p>
    <w:p w:rsidR="00000000" w:rsidDel="00000000" w:rsidP="00000000" w:rsidRDefault="00000000" w:rsidRPr="00000000" w14:paraId="0000000C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cs="Courier New" w:eastAsia="Courier New" w:hAnsi="Courier New"/>
          <w:color w:val="19191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cs="Courier New" w:eastAsia="Courier New" w:hAnsi="Courier New"/>
          <w:color w:val="19191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cs="Courier New" w:eastAsia="Courier New" w:hAnsi="Courier New"/>
          <w:color w:val="19191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cs="Courier New" w:eastAsia="Courier New" w:hAnsi="Courier New"/>
          <w:color w:val="19191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cs="Courier New" w:eastAsia="Courier New" w:hAnsi="Courier New"/>
          <w:color w:val="19191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cs="Courier New" w:eastAsia="Courier New" w:hAnsi="Courier New"/>
          <w:color w:val="19191a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19191a"/>
          <w:sz w:val="24"/>
          <w:szCs w:val="24"/>
          <w:rtl w:val="0"/>
        </w:rPr>
        <w:t xml:space="preserve"> 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f3864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i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1f3864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e" w:default="1">
    <w:name w:val="Normal"/>
    <w:qFormat w:val="1"/>
    <w:rsid w:val="00CF2A20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CF2A20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CF2A20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 w:val="1"/>
    <w:unhideWhenUsed w:val="1"/>
    <w:qFormat w:val="1"/>
    <w:rsid w:val="00CF2A20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1f3864" w:themeColor="accent1" w:themeShade="00008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 w:val="1"/>
    <w:unhideWhenUsed w:val="1"/>
    <w:qFormat w:val="1"/>
    <w:rsid w:val="00CF2A20"/>
    <w:pPr>
      <w:keepNext w:val="1"/>
      <w:keepLines w:val="1"/>
      <w:spacing w:after="0" w:before="40"/>
      <w:outlineLvl w:val="3"/>
    </w:pPr>
    <w:rPr>
      <w:i w:val="1"/>
      <w:iCs w:val="1"/>
    </w:rPr>
  </w:style>
  <w:style w:type="paragraph" w:styleId="Titolo5">
    <w:name w:val="heading 5"/>
    <w:basedOn w:val="Normale"/>
    <w:next w:val="Normale"/>
    <w:link w:val="Titolo5Carattere"/>
    <w:uiPriority w:val="9"/>
    <w:semiHidden w:val="1"/>
    <w:unhideWhenUsed w:val="1"/>
    <w:qFormat w:val="1"/>
    <w:rsid w:val="00CF2A20"/>
    <w:pPr>
      <w:keepNext w:val="1"/>
      <w:keepLines w:val="1"/>
      <w:spacing w:after="0" w:before="40"/>
      <w:outlineLvl w:val="4"/>
    </w:pPr>
    <w:rPr>
      <w:color w:val="2f5496" w:themeColor="accent1" w:themeShade="0000BF"/>
    </w:rPr>
  </w:style>
  <w:style w:type="paragraph" w:styleId="Titolo6">
    <w:name w:val="heading 6"/>
    <w:basedOn w:val="Normale"/>
    <w:next w:val="Normale"/>
    <w:link w:val="Titolo6Carattere"/>
    <w:uiPriority w:val="9"/>
    <w:semiHidden w:val="1"/>
    <w:unhideWhenUsed w:val="1"/>
    <w:qFormat w:val="1"/>
    <w:rsid w:val="00CF2A20"/>
    <w:pPr>
      <w:keepNext w:val="1"/>
      <w:keepLines w:val="1"/>
      <w:spacing w:after="0" w:before="40"/>
      <w:outlineLvl w:val="5"/>
    </w:pPr>
    <w:rPr>
      <w:color w:val="1f3864" w:themeColor="accent1" w:themeShade="000080"/>
    </w:rPr>
  </w:style>
  <w:style w:type="paragraph" w:styleId="Titolo7">
    <w:name w:val="heading 7"/>
    <w:basedOn w:val="Normale"/>
    <w:next w:val="Normale"/>
    <w:link w:val="Titolo7Carattere"/>
    <w:uiPriority w:val="9"/>
    <w:semiHidden w:val="1"/>
    <w:unhideWhenUsed w:val="1"/>
    <w:qFormat w:val="1"/>
    <w:rsid w:val="00CF2A20"/>
    <w:pPr>
      <w:keepNext w:val="1"/>
      <w:keepLines w:val="1"/>
      <w:spacing w:after="0" w:before="40"/>
      <w:outlineLvl w:val="6"/>
    </w:pPr>
    <w:rPr>
      <w:rFonts w:asciiTheme="majorHAnsi" w:cstheme="majorBidi" w:eastAsiaTheme="majorEastAsia" w:hAnsiTheme="majorHAnsi"/>
      <w:i w:val="1"/>
      <w:iCs w:val="1"/>
      <w:color w:val="1f3864" w:themeColor="accent1" w:themeShade="000080"/>
    </w:rPr>
  </w:style>
  <w:style w:type="paragraph" w:styleId="Titolo8">
    <w:name w:val="heading 8"/>
    <w:basedOn w:val="Normale"/>
    <w:next w:val="Normale"/>
    <w:link w:val="Titolo8Carattere"/>
    <w:uiPriority w:val="9"/>
    <w:semiHidden w:val="1"/>
    <w:unhideWhenUsed w:val="1"/>
    <w:qFormat w:val="1"/>
    <w:rsid w:val="00CF2A20"/>
    <w:pPr>
      <w:keepNext w:val="1"/>
      <w:keepLines w:val="1"/>
      <w:spacing w:after="0" w:before="40"/>
      <w:outlineLvl w:val="7"/>
    </w:pPr>
    <w:rPr>
      <w:color w:val="262626" w:themeColor="text1" w:themeTint="0000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 w:val="1"/>
    <w:unhideWhenUsed w:val="1"/>
    <w:qFormat w:val="1"/>
    <w:rsid w:val="00CF2A20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62626" w:themeColor="text1" w:themeTint="0000D9"/>
      <w:sz w:val="21"/>
      <w:szCs w:val="2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CF2A20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CF2A20"/>
    <w:rPr>
      <w:rFonts w:asciiTheme="majorHAnsi" w:cstheme="majorBidi" w:eastAsiaTheme="majorEastAsia" w:hAnsiTheme="majorHAnsi"/>
      <w:color w:val="2f5496" w:themeColor="accent1" w:themeShade="0000BF"/>
      <w:sz w:val="28"/>
      <w:szCs w:val="28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CF2A20"/>
    <w:rPr>
      <w:rFonts w:asciiTheme="majorHAnsi" w:cstheme="majorBidi" w:eastAsiaTheme="majorEastAsia" w:hAnsiTheme="majorHAnsi"/>
      <w:color w:val="1f3864" w:themeColor="accent1" w:themeShade="000080"/>
      <w:sz w:val="24"/>
      <w:szCs w:val="24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CF2A20"/>
    <w:rPr>
      <w:i w:val="1"/>
      <w:iCs w:val="1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CF2A20"/>
    <w:rPr>
      <w:color w:val="2f5496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CF2A20"/>
    <w:rPr>
      <w:color w:val="1f3864" w:themeColor="accent1" w:themeShade="000080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CF2A20"/>
    <w:rPr>
      <w:rFonts w:asciiTheme="majorHAnsi" w:cstheme="majorBidi" w:eastAsiaTheme="majorEastAsia" w:hAnsiTheme="majorHAnsi"/>
      <w:i w:val="1"/>
      <w:iCs w:val="1"/>
      <w:color w:val="1f3864" w:themeColor="accent1" w:themeShade="000080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CF2A20"/>
    <w:rPr>
      <w:color w:val="262626" w:themeColor="text1" w:themeTint="0000D9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CF2A20"/>
    <w:rPr>
      <w:rFonts w:asciiTheme="majorHAnsi" w:cstheme="majorBidi" w:eastAsiaTheme="majorEastAsia" w:hAnsiTheme="majorHAnsi"/>
      <w:i w:val="1"/>
      <w:iCs w:val="1"/>
      <w:color w:val="262626" w:themeColor="text1" w:themeTint="0000D9"/>
      <w:sz w:val="21"/>
      <w:szCs w:val="21"/>
    </w:rPr>
  </w:style>
  <w:style w:type="paragraph" w:styleId="Didascalia">
    <w:name w:val="caption"/>
    <w:basedOn w:val="Normale"/>
    <w:next w:val="Normale"/>
    <w:uiPriority w:val="35"/>
    <w:semiHidden w:val="1"/>
    <w:unhideWhenUsed w:val="1"/>
    <w:qFormat w:val="1"/>
    <w:rsid w:val="00CF2A20"/>
    <w:pPr>
      <w:spacing w:after="200" w:line="240" w:lineRule="auto"/>
    </w:pPr>
    <w:rPr>
      <w:i w:val="1"/>
      <w:iCs w:val="1"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 w:val="1"/>
    <w:rsid w:val="00CF2A20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sz w:val="56"/>
      <w:szCs w:val="56"/>
    </w:rPr>
  </w:style>
  <w:style w:type="character" w:styleId="TitoloCarattere" w:customStyle="1">
    <w:name w:val="Titolo Carattere"/>
    <w:basedOn w:val="Carpredefinitoparagrafo"/>
    <w:link w:val="Titolo"/>
    <w:uiPriority w:val="10"/>
    <w:rsid w:val="00CF2A20"/>
    <w:rPr>
      <w:rFonts w:asciiTheme="majorHAnsi" w:cstheme="majorBidi" w:eastAsiaTheme="majorEastAsia" w:hAnsiTheme="majorHAns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 w:val="1"/>
    <w:rsid w:val="00CF2A20"/>
    <w:pPr>
      <w:numPr>
        <w:ilvl w:val="1"/>
      </w:numPr>
    </w:pPr>
    <w:rPr>
      <w:color w:val="5a5a5a" w:themeColor="text1" w:themeTint="0000A5"/>
      <w:spacing w:val="15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CF2A20"/>
    <w:rPr>
      <w:color w:val="5a5a5a" w:themeColor="text1" w:themeTint="0000A5"/>
      <w:spacing w:val="15"/>
    </w:rPr>
  </w:style>
  <w:style w:type="character" w:styleId="Enfasigrassetto">
    <w:name w:val="Strong"/>
    <w:basedOn w:val="Carpredefinitoparagrafo"/>
    <w:uiPriority w:val="22"/>
    <w:qFormat w:val="1"/>
    <w:rsid w:val="00CF2A20"/>
    <w:rPr>
      <w:b w:val="1"/>
      <w:bCs w:val="1"/>
      <w:color w:val="auto"/>
    </w:rPr>
  </w:style>
  <w:style w:type="character" w:styleId="Enfasicorsivo">
    <w:name w:val="Emphasis"/>
    <w:basedOn w:val="Carpredefinitoparagrafo"/>
    <w:uiPriority w:val="20"/>
    <w:qFormat w:val="1"/>
    <w:rsid w:val="00CF2A20"/>
    <w:rPr>
      <w:i w:val="1"/>
      <w:iCs w:val="1"/>
      <w:color w:val="auto"/>
    </w:rPr>
  </w:style>
  <w:style w:type="paragraph" w:styleId="Nessunaspaziatura">
    <w:name w:val="No Spacing"/>
    <w:uiPriority w:val="1"/>
    <w:qFormat w:val="1"/>
    <w:rsid w:val="00CF2A20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 w:val="1"/>
    <w:rsid w:val="00CF2A20"/>
    <w:pPr>
      <w:spacing w:before="200"/>
      <w:ind w:left="864" w:right="864"/>
    </w:pPr>
    <w:rPr>
      <w:i w:val="1"/>
      <w:iCs w:val="1"/>
      <w:color w:val="404040" w:themeColor="text1" w:themeTint="0000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CF2A20"/>
    <w:rPr>
      <w:i w:val="1"/>
      <w:iCs w:val="1"/>
      <w:color w:val="404040" w:themeColor="text1" w:themeTint="0000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CF2A20"/>
    <w:pPr>
      <w:pBdr>
        <w:top w:color="4472c4" w:space="10" w:sz="4" w:themeColor="accent1" w:val="single"/>
        <w:bottom w:color="4472c4" w:space="10" w:sz="4" w:themeColor="accent1" w:val="single"/>
      </w:pBdr>
      <w:spacing w:after="360" w:before="360"/>
      <w:ind w:left="864" w:right="864"/>
      <w:jc w:val="center"/>
    </w:pPr>
    <w:rPr>
      <w:i w:val="1"/>
      <w:iCs w:val="1"/>
      <w:color w:val="4472c4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CF2A20"/>
    <w:rPr>
      <w:i w:val="1"/>
      <w:iCs w:val="1"/>
      <w:color w:val="4472c4" w:themeColor="accent1"/>
    </w:rPr>
  </w:style>
  <w:style w:type="character" w:styleId="Enfasidelicata">
    <w:name w:val="Subtle Emphasis"/>
    <w:basedOn w:val="Carpredefinitoparagrafo"/>
    <w:uiPriority w:val="19"/>
    <w:qFormat w:val="1"/>
    <w:rsid w:val="00CF2A20"/>
    <w:rPr>
      <w:i w:val="1"/>
      <w:iCs w:val="1"/>
      <w:color w:val="404040" w:themeColor="text1" w:themeTint="0000BF"/>
    </w:rPr>
  </w:style>
  <w:style w:type="character" w:styleId="Enfasiintensa">
    <w:name w:val="Intense Emphasis"/>
    <w:basedOn w:val="Carpredefinitoparagrafo"/>
    <w:uiPriority w:val="21"/>
    <w:qFormat w:val="1"/>
    <w:rsid w:val="00CF2A20"/>
    <w:rPr>
      <w:i w:val="1"/>
      <w:iCs w:val="1"/>
      <w:color w:val="4472c4" w:themeColor="accent1"/>
    </w:rPr>
  </w:style>
  <w:style w:type="character" w:styleId="Riferimentodelicato">
    <w:name w:val="Subtle Reference"/>
    <w:basedOn w:val="Carpredefinitoparagrafo"/>
    <w:uiPriority w:val="31"/>
    <w:qFormat w:val="1"/>
    <w:rsid w:val="00CF2A20"/>
    <w:rPr>
      <w:smallCaps w:val="1"/>
      <w:color w:val="404040" w:themeColor="text1" w:themeTint="0000BF"/>
    </w:rPr>
  </w:style>
  <w:style w:type="character" w:styleId="Riferimentointenso">
    <w:name w:val="Intense Reference"/>
    <w:basedOn w:val="Carpredefinitoparagrafo"/>
    <w:uiPriority w:val="32"/>
    <w:qFormat w:val="1"/>
    <w:rsid w:val="00CF2A20"/>
    <w:rPr>
      <w:b w:val="1"/>
      <w:bCs w:val="1"/>
      <w:smallCaps w:val="1"/>
      <w:color w:val="4472c4" w:themeColor="accent1"/>
      <w:spacing w:val="5"/>
    </w:rPr>
  </w:style>
  <w:style w:type="character" w:styleId="Titolodellibro">
    <w:name w:val="Book Title"/>
    <w:basedOn w:val="Carpredefinitoparagrafo"/>
    <w:uiPriority w:val="33"/>
    <w:qFormat w:val="1"/>
    <w:rsid w:val="00CF2A20"/>
    <w:rPr>
      <w:b w:val="1"/>
      <w:bCs w:val="1"/>
      <w:i w:val="1"/>
      <w:iCs w:val="1"/>
      <w:spacing w:val="5"/>
    </w:rPr>
  </w:style>
  <w:style w:type="paragraph" w:styleId="Titolosommario">
    <w:name w:val="TOC Heading"/>
    <w:basedOn w:val="Titolo1"/>
    <w:next w:val="Normale"/>
    <w:uiPriority w:val="39"/>
    <w:semiHidden w:val="1"/>
    <w:unhideWhenUsed w:val="1"/>
    <w:qFormat w:val="1"/>
    <w:rsid w:val="00CF2A20"/>
    <w:pPr>
      <w:outlineLvl w:val="9"/>
    </w:pPr>
  </w:style>
  <w:style w:type="paragraph" w:styleId="Subtitle">
    <w:name w:val="Subtitle"/>
    <w:basedOn w:val="Normal"/>
    <w:next w:val="Normal"/>
    <w:pPr/>
    <w:rPr>
      <w:color w:val="5a5a5a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normattiva.it/uri-res/N2Ls?urn:nir:presidente.repubblica:decreto:2000-12-28;445~art21-com2" TargetMode="External"/><Relationship Id="rId22" Type="http://schemas.openxmlformats.org/officeDocument/2006/relationships/hyperlink" Target="https://www.normattiva.it/uri-res/N2Ls?urn:nir:presidente.repubblica:decreto:2000-12-28;445~art21-com2" TargetMode="External"/><Relationship Id="rId21" Type="http://schemas.openxmlformats.org/officeDocument/2006/relationships/hyperlink" Target="https://www.normattiva.it/uri-res/N2Ls?urn:nir:presidente.repubblica:decreto:2000-12-28;445~art21-com2" TargetMode="External"/><Relationship Id="rId24" Type="http://schemas.openxmlformats.org/officeDocument/2006/relationships/hyperlink" Target="https://www.normattiva.it/uri-res/N2Ls?urn:nir:presidente.repubblica:decreto:2000-12-28;445" TargetMode="External"/><Relationship Id="rId23" Type="http://schemas.openxmlformats.org/officeDocument/2006/relationships/hyperlink" Target="https://www.normattiva.it/uri-res/N2Ls?urn:nir:presidente.repubblica:decreto:2000-12-28;445~art21-com2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normattiva.it/uri-res/N2Ls?urn:nir:stato:legge:1951-03-08;122" TargetMode="External"/><Relationship Id="rId26" Type="http://schemas.openxmlformats.org/officeDocument/2006/relationships/hyperlink" Target="https://www.normattiva.it/uri-res/N2Ls?urn:nir:presidente.repubblica:decreto:2000-12-28;445" TargetMode="External"/><Relationship Id="rId25" Type="http://schemas.openxmlformats.org/officeDocument/2006/relationships/hyperlink" Target="https://www.normattiva.it/uri-res/N2Ls?urn:nir:presidente.repubblica:decreto:2000-12-28;445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normattiva.it/uri-res/N2Ls?urn:nir:stato:legge:1990;53~art14!vig=" TargetMode="External"/><Relationship Id="rId8" Type="http://schemas.openxmlformats.org/officeDocument/2006/relationships/hyperlink" Target="https://www.normattiva.it/uri-res/N2Ls?urn:nir:stato:legge:1948-02-06;29" TargetMode="External"/><Relationship Id="rId11" Type="http://schemas.openxmlformats.org/officeDocument/2006/relationships/hyperlink" Target="https://www.normattiva.it/uri-res/N2Ls?urn:nir:presidente.repubblica:decreto:1960-05-16;570" TargetMode="External"/><Relationship Id="rId10" Type="http://schemas.openxmlformats.org/officeDocument/2006/relationships/hyperlink" Target="https://www.normattiva.it/uri-res/N2Ls?urn:nir:presidente.repubblica:decreto:1957-03-30;361" TargetMode="External"/><Relationship Id="rId13" Type="http://schemas.openxmlformats.org/officeDocument/2006/relationships/hyperlink" Target="https://www.normattiva.it/uri-res/N2Ls?urn:nir:stato:decreto.legge:1976-05-03;161" TargetMode="External"/><Relationship Id="rId12" Type="http://schemas.openxmlformats.org/officeDocument/2006/relationships/hyperlink" Target="https://www.normattiva.it/uri-res/N2Ls?urn:nir:stato:legge:1968-02-17;108" TargetMode="External"/><Relationship Id="rId15" Type="http://schemas.openxmlformats.org/officeDocument/2006/relationships/hyperlink" Target="https://www.normattiva.it/uri-res/N2Ls?urn:nir:stato:legge:1976-05-14;240" TargetMode="External"/><Relationship Id="rId14" Type="http://schemas.openxmlformats.org/officeDocument/2006/relationships/hyperlink" Target="https://www.normattiva.it/uri-res/N2Ls?urn:nir:stato:legge:1976-05-14;240" TargetMode="External"/><Relationship Id="rId17" Type="http://schemas.openxmlformats.org/officeDocument/2006/relationships/hyperlink" Target="https://www.normattiva.it/uri-res/N2Ls?urn:nir:stato:legge:1970-05-25;352" TargetMode="External"/><Relationship Id="rId16" Type="http://schemas.openxmlformats.org/officeDocument/2006/relationships/hyperlink" Target="https://www.normattiva.it/uri-res/N2Ls?urn:nir:stato:legge:1979-01-24;18" TargetMode="External"/><Relationship Id="rId19" Type="http://schemas.openxmlformats.org/officeDocument/2006/relationships/hyperlink" Target="https://www.normattiva.it/uri-res/N2Ls?urn:nir:presidente.repubblica:decreto:2000-12-28;445~art21-com2" TargetMode="External"/><Relationship Id="rId18" Type="http://schemas.openxmlformats.org/officeDocument/2006/relationships/hyperlink" Target="https://www.normattiva.it/uri-res/N2Ls?urn:nir:stato:legge:2014-04-07;56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2O6BwijF1yLurBVQU4Z4K4Dx6Q==">AMUW2mXX4flnKz++N0X1GD+VbD7Q2irMC9Vxw3liV8N5lD+2HYvdySyRyy2antDI3tEXDUS8z8meI+7MoJYhdWWRi9rZebGplYHj3SE/ij0FzHaN3cqVra9wFWhmp3S5ndrJ9HMx4z2d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2022-08-10T18:40:00Z</dcterms:created>
  <dc:creator>Ida Alessio Vernì</dc:creator>
</cp:coreProperties>
</file>